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30 апреля 2015 г. N 37082</w:t>
      </w:r>
    </w:p>
    <w:p w:rsidR="00714D92" w:rsidRDefault="00714D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189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 И ПОРЯДКА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ЗАКЛЮЧЕНИЯ КОНТРАКТА С ЕДИНСТВЕННЫМ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</w:t>
      </w:r>
      <w:hyperlink r:id="rId4" w:history="1">
        <w:r>
          <w:rPr>
            <w:rFonts w:ascii="Calibri" w:hAnsi="Calibri" w:cs="Calibri"/>
            <w:color w:val="0000FF"/>
          </w:rPr>
          <w:t>части 3 статьи 84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пунктов 24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25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1418) приказываю: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Порядок согласования применения закрытых способов определения поставщиков (подрядчиков, исполнителей) </w:t>
      </w:r>
      <w:hyperlink w:anchor="Par35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Порядок согласования заключения контракта с единственным поставщиком (подрядчиком, исполнителем) </w:t>
      </w:r>
      <w:hyperlink w:anchor="Par6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13 сентября 2013 г. N 537 "Об утверждении Порядка согласования применения закрытых способов определения поставщиков (подрядчиков, исполнителей), заключения контракта с единственным поставщиком (подрядчиком, исполнителем)" (зарегистрирован в Минюсте России 26 ноября 2013 г., регистрационный N 30452);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Минэкономразвития России от 30 сентября 2014 г. N 633 "О внесении изменений в приказ Минэкономразвития России от 13 сентября 2013 г. N 537" (зарегистрирован в Минюсте России 19 декабря 2014 г., регистрационный N 35264).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по истечении десяти дней после дня его официального опубликования.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 N 1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ПОРЯДОК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ПРИМЕНЕНИЯ ЗАКРЫТЫХ СПОСОБОВ ОПРЕДЕЛЕНИЯ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ПОСТАВЩИКОВ (ПОДРЯДЧИКОВ, ИСПОЛНИТЕЛЕЙ)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правила согласования применения закрытого конкурса, </w:t>
      </w:r>
      <w:r>
        <w:rPr>
          <w:rFonts w:ascii="Calibri" w:hAnsi="Calibri" w:cs="Calibri"/>
        </w:rPr>
        <w:lastRenderedPageBreak/>
        <w:t>закрытого конкурса с ограниченным участием, закрытого двухэтапного конкурса, закрытого аукциона заказчиком, уполномоченным органом, уполномоченным учреждением (далее - заявитель) с Федеральной антимонопольной службой (далее - контрольный орган).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обращению о согласовании проведения закрытого конкурса, закрытого конкурса с ограниченным участием, закрытого двухэтапного конкурса, закрытого аукциона прилагаются: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обоснование отнесения сведений о закупке товаров, работ, услуг, необходимых для обеспечения федеральных нужд, к сведениям, составляющим государственную тайну (в случае, указанном в </w:t>
      </w:r>
      <w:hyperlink r:id="rId9" w:history="1">
        <w:r>
          <w:rPr>
            <w:rFonts w:ascii="Calibri" w:hAnsi="Calibri" w:cs="Calibri"/>
            <w:color w:val="0000FF"/>
          </w:rPr>
          <w:t>пункте 1 части 2 статьи 84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1418) (далее - Федеральный закон);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обоснование отнесения содержащихся в документации о закупке или в проекте контракта сведений о предмете закупки товаров, работ, услуг к сведениям, составляющим государственную тайну (в случае, указанном в </w:t>
      </w:r>
      <w:hyperlink r:id="rId10" w:history="1">
        <w:r>
          <w:rPr>
            <w:rFonts w:ascii="Calibri" w:hAnsi="Calibri" w:cs="Calibri"/>
            <w:color w:val="0000FF"/>
          </w:rPr>
          <w:t>пункте 2 части 2 статьи 84</w:t>
        </w:r>
      </w:hyperlink>
      <w:r>
        <w:rPr>
          <w:rFonts w:ascii="Calibri" w:hAnsi="Calibri" w:cs="Calibri"/>
        </w:rPr>
        <w:t xml:space="preserve"> Федерального закона);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описание объекта закупки в соответствии с требованиями </w:t>
      </w:r>
      <w:hyperlink r:id="rId11" w:history="1">
        <w:r>
          <w:rPr>
            <w:rFonts w:ascii="Calibri" w:hAnsi="Calibri" w:cs="Calibri"/>
            <w:color w:val="0000FF"/>
          </w:rPr>
          <w:t>статьи 33</w:t>
        </w:r>
      </w:hyperlink>
      <w:r>
        <w:rPr>
          <w:rFonts w:ascii="Calibri" w:hAnsi="Calibri" w:cs="Calibri"/>
        </w:rPr>
        <w:t xml:space="preserve"> Федерального закона, включая количество закупаемого товара, работ, услуг, начальную (максимальную) цену контракта, источник финансирования;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перечень и обоснование количества участников закупки, приглашаемых к участию в закрытом конкурсе, закрытом конкурсе с ограниченным участием, закрытом двухэтапном конкурсе, закрытом аукционе, которые соответствуют требованиям, предусмотренным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(в случаях, указанных в </w:t>
      </w:r>
      <w:hyperlink r:id="rId13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4 части 2 статьи 84</w:t>
        </w:r>
      </w:hyperlink>
      <w:r>
        <w:rPr>
          <w:rFonts w:ascii="Calibri" w:hAnsi="Calibri" w:cs="Calibri"/>
        </w:rPr>
        <w:t xml:space="preserve"> Федерального закона), с указанием таких требований.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Обращение о согласовании проведения закрытого конкурса, закрытого конкурса с ограниченным участием, закрытого двухэтапного конкурса, закрытого аукциона, содержащее сведения, составляющие государственную тайну, направляется с учетом требований законодательства Российской Федерации о государственной тайне.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непредставления документов и (или) информации, предусмотренных Порядком, контрольный орган не рассматривает обращение и возвращает его заявителю с указанием причин такого возврата в срок, не превышающий 5 рабочих дней со дня поступления обращения.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 результатам рассмотрения обращения контрольный орган принимает одно из следующих решений: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применения закрытого способа определения поставщика (подрядчика, исполнителя), в том числе с указанием на выявленные нарушения законодательства Российской Федерации о контрактной системе в сфере закупок и на необходимость их устранения при определении поставщика (подрядчика, исполнителя);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 отказе в согласовании применения закрытого способа определения поставщика (подрядчика, исполнителя) в случае признания закупки необоснованной в соответствии с требованиями, предусмотренными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и (или) отсутствия оснований применения закрытого способа определения поставщика (подрядчика, исполнителя) и (или) в случае необоснованного сокращения количества участников, приглашаемых к участию в закрытом способе определения поставщика (подрядчика, исполнителя).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Контрольный орган в срок, не превышающий 10 рабочих дней с даты поступления обращения, направляет заявителю в письменной форме информацию о принятом решении о согласовании или об отказе в согласовании применения закрытого способа определения поставщика (подрядчика, исполнителя) с указанием на мотивированное обоснование отказа в согласовании.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ходе рассмотрения обращения контрольный орган вправе: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документы и информацию, представленные заявителем, необходимые для объективного и всестороннего рассмотрения обращения;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обращения экспертов, экспертные организации.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Приложение N 2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Минэкономразвития России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189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64"/>
      <w:bookmarkEnd w:id="5"/>
      <w:r>
        <w:rPr>
          <w:rFonts w:ascii="Calibri" w:hAnsi="Calibri" w:cs="Calibri"/>
          <w:b/>
          <w:bCs/>
        </w:rPr>
        <w:t>ПОРЯДОК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СОГЛАСОВАНИЯ ЗАКЛЮЧЕНИЯ КОНТРАКТА С ЕДИНСТВЕННЫМ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ПОСТАВЩИКОМ (ПОДРЯДЧИКОМ, ИСПОЛНИТЕЛЕМ)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согласования заключения контракта с единственным поставщиком (подрядчиком, исполнителем) заказчиком, уполномоченным органом, уполномоченным учреждением (далее - заявитель) с Федеральной антимонопольной службой (ФАС России), органом исполнительной власти субъекта Российской Федерации, органом местного самоуправления муниципального района, органом местного самоуправления городского округа, уполномоченными на осуществление контроля в сфере закупок (далее - контрольный орган).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9"/>
      <w:bookmarkEnd w:id="6"/>
      <w:r>
        <w:rPr>
          <w:rFonts w:ascii="Calibri" w:hAnsi="Calibri" w:cs="Calibri"/>
        </w:rPr>
        <w:t xml:space="preserve">2. Для получения согласования заключения контракта с единственным поставщиком (подрядчиком, исполнителем) в соответствии с положениями </w:t>
      </w:r>
      <w:hyperlink r:id="rId17" w:history="1">
        <w:r>
          <w:rPr>
            <w:rFonts w:ascii="Calibri" w:hAnsi="Calibri" w:cs="Calibri"/>
            <w:color w:val="0000FF"/>
          </w:rPr>
          <w:t>пункта 24 части 1 статьи 93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51, 72; N 10, ст. 1418) (далее - Федеральный закон) заявитель направляет в соответствии с требованиями настоящего Порядка письменное обращение о согласовании заключения контракта с единственным поставщиком (подрядчиком, исполнителем), подписанное руководителем заявителя или его заместителем, в ФАС России.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 xml:space="preserve">3. Для получения согласования заключения контракта с единственным поставщиком (подрядчиком, исполнителем) в соответствии с </w:t>
      </w:r>
      <w:hyperlink r:id="rId18" w:history="1">
        <w:r>
          <w:rPr>
            <w:rFonts w:ascii="Calibri" w:hAnsi="Calibri" w:cs="Calibri"/>
            <w:color w:val="0000FF"/>
          </w:rPr>
          <w:t>пунктом 25 части 1 статьи 93</w:t>
        </w:r>
      </w:hyperlink>
      <w:r>
        <w:rPr>
          <w:rFonts w:ascii="Calibri" w:hAnsi="Calibri" w:cs="Calibri"/>
        </w:rPr>
        <w:t xml:space="preserve"> Федерального закона заявитель направляет в соответствии с требованиями настоящего Порядка письменное обращение, подписанное руководителем заявителя или его заместителем: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целях обеспечения федеральных нужд - в ФАС России;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целях обеспечения нужд субъекта Российской Федерации - в орган исполнительной власти субъекта Российской Федерации, уполномоченный на осуществление контроля в сфере закупок;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целях обеспечения муниципальных нужд - в орган местного самоуправления муниципального района или орган местного самоуправления городского округа, уполномоченный на осуществление контроля в сфере закупок.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Обращение о согласовании заключения контракта с единственным поставщиком (подрядчиком, исполнителем), указанное в </w:t>
      </w:r>
      <w:hyperlink w:anchor="Par6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случае, если подана только одна заявка на участие в закрытом конкурсе, закрытом конкурсе с ограниченным участием, закрытом двухэтапном конкурсе, закрытом аукционе (при этом такая заявка признана соответствующей требованиям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закупке) или только одна заявка на участие в закрытом конкурсе, закрытом конкурсе с ограниченным участием, закрытом двухэтапном конкурсе, закрытом аукционе признана соответствующей требованиям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закупке: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власти,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дата и номер извещения об осуществлении закупки, размещенного в единой </w:t>
      </w:r>
      <w:r>
        <w:rPr>
          <w:rFonts w:ascii="Calibri" w:hAnsi="Calibri" w:cs="Calibri"/>
        </w:rPr>
        <w:lastRenderedPageBreak/>
        <w:t>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случае, если не подано ни одной заявки на участие в закрытом конкурсе, закрытом конкурсе с ограниченным участием, закрытом двухэтапном конкурсе, закрытом аукционе или все поданные на участие в закрытом конкурсе, закрытом конкурсе с ограниченным участием, закрытом двухэтапном конкурсе, закрытом аукционе заявки отклонены: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всех протоколов, составленных в ходе определения поставщика (подрядчика, исполнителя);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копия письма федерального органа исполнительной власти уполномоченного на осуществление контроля в сфере закупок о согласовании применения закрытого способа определения поставщика (подрядчика, исполнителя);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дата и номер извещения об осуществлении закупки, размещенного в единой информационной системе в сфере закупок или копии приглашений принять участие в определении поставщика (подрядчика, исполнителя);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заявки участников (при наличии) на участие в закрытом конкурсе, закрытом конкурсе с ограниченным участием, закрытом двухэтапном конкурсе, закрытом аукционе;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информация о поставщике (подрядчике, исполнителе) (наименование, место нахождения, идентификационный номер налогоплательщика), с которым предполагается заключить контракт, и обоснование того, что данное лицо соответствует требованиям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и документации о закупке;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документ о согласии указываемого в обращении поставщика (подрядчика, исполнителя) заключить контракт в соответствии с требованиями и условиями документации о закупке и по цене, не превышающей начальную (максимальную) цену контракта, указанную в извещении об осуществлении закупки или приглашении принять участие в определении поставщика (подрядчика, исполнителя).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Обращение о согласовании заключения контракта с единственным поставщиком (подрядчиком, исполнителем), указанное в </w:t>
      </w:r>
      <w:hyperlink w:anchor="Par70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должно содержать следующие информацию и прилагаемые документы: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дату и номер извещения об осуществлении закупки, размещенного в единой информационной системе в сфере закупок;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протоколов, составленных в ходе определения поставщика (подрядчика, исполнителя);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документации о закупке, а также разъяснений и изменений к ней (если такие разъяснения или изменения были сделаны заказчиком);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заявок на участие в конкурсе, повторном конкурсе, запросе предложений.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этом, если обращение направлено по результатам несостоявшегося повторного конкурса или несостоявшегося запроса предложений, проведенных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пунктом 8 части 2 статьи 83</w:t>
        </w:r>
      </w:hyperlink>
      <w:r>
        <w:rPr>
          <w:rFonts w:ascii="Calibri" w:hAnsi="Calibri" w:cs="Calibri"/>
        </w:rPr>
        <w:t xml:space="preserve"> Федерального закона, к обращению также должны быть приложены документы, предусмотренные настоящим пунктом, по всем предшествующим несостоявшимся процедурам определения поставщика (подрядчика, исполнителя), явившимся основанием для проведения таких повторного конкурса, запроса предложений.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непредставления документов и (или) информации, предусмотренных настоящим Порядком, а также в случае направления обращения, содержащего вопросы, решение которых не входит в компетенцию данного контрольного органа, контрольный орган не рассматривает обращение и возвращает его заявителю в срок, не превышающий 5 рабочих дней со дня поступления обращения, с указанием причин такого возврата.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Рассмотрение обращения осуществляется комиссией контрольного органа, формируемой приказом контрольного органа.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По результатам рассмотрения обращения комиссия контрольного органа принимает одно из следующих решений: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рассмотрения вопроса о возбуждении дела об административном правонарушении.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Копия решения направляется заявителю в срок, не превышающий 10 рабочих дней с даты поступления обращения.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ходе рассмотрения обращения контрольный орган вправе: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рассматривать представленные заявителем документы и информацию, необходимые для объективного и всестороннего рассмотрения обращения;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приглашать заявителя, участников закупки, оператора электронной площадки;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привлекать к рассмотрению обращений экспертов, экспертные организации.</w:t>
      </w: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4D92" w:rsidRDefault="00714D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40E11" w:rsidRDefault="00740E11"/>
    <w:sectPr w:rsidR="00740E11" w:rsidSect="0031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2"/>
    <w:rsid w:val="006A4C04"/>
    <w:rsid w:val="00714D92"/>
    <w:rsid w:val="0074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66D1-864B-4D89-9C92-4E3992C2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4689919C5B48457776C3E07D95A3CE9130817CEA173AC2ACE8F9C7FAEWDE" TargetMode="External"/><Relationship Id="rId13" Type="http://schemas.openxmlformats.org/officeDocument/2006/relationships/hyperlink" Target="consultantplus://offline/ref=BB34689919C5B48457776C3E07D95A3CE9130D19CFA073AC2ACE8F9C7FED02043EE11C58CFB59235A4WAE" TargetMode="External"/><Relationship Id="rId18" Type="http://schemas.openxmlformats.org/officeDocument/2006/relationships/hyperlink" Target="consultantplus://offline/ref=BB34689919C5B48457776C3E07D95A3CE9130D19CFA073AC2ACE8F9C7FED02043EE11C5BACW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34689919C5B48457776C3E07D95A3CE9130D19CFA073AC2ACE8F9C7FAEWDE" TargetMode="External"/><Relationship Id="rId7" Type="http://schemas.openxmlformats.org/officeDocument/2006/relationships/hyperlink" Target="consultantplus://offline/ref=BB34689919C5B48457776C3E07D95A3CE913091FCBA073AC2ACE8F9C7FAEWDE" TargetMode="External"/><Relationship Id="rId12" Type="http://schemas.openxmlformats.org/officeDocument/2006/relationships/hyperlink" Target="consultantplus://offline/ref=BB34689919C5B48457776C3E07D95A3CE9130D19CFA073AC2ACE8F9C7FAEWDE" TargetMode="External"/><Relationship Id="rId17" Type="http://schemas.openxmlformats.org/officeDocument/2006/relationships/hyperlink" Target="consultantplus://offline/ref=BB34689919C5B48457776C3E07D95A3CE9130D19CFA073AC2ACE8F9C7FED02043EE11C58CFB59A37A4W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34689919C5B48457776C3E07D95A3CE9130D19CFA073AC2ACE8F9C7FAEWDE" TargetMode="External"/><Relationship Id="rId20" Type="http://schemas.openxmlformats.org/officeDocument/2006/relationships/hyperlink" Target="consultantplus://offline/ref=BB34689919C5B48457776C3E07D95A3CE9130D19CFA073AC2ACE8F9C7FAEW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4689919C5B48457776C3E07D95A3CE9130D19CFA073AC2ACE8F9C7FED02043EE11C5BACW6E" TargetMode="External"/><Relationship Id="rId11" Type="http://schemas.openxmlformats.org/officeDocument/2006/relationships/hyperlink" Target="consultantplus://offline/ref=BB34689919C5B48457776C3E07D95A3CE9130D19CFA073AC2ACE8F9C7FED02043EE11C58CFB49039A4WCE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B34689919C5B48457776C3E07D95A3CE9130D19CFA073AC2ACE8F9C7FED02043EE11C58CFB59A37A4W8E" TargetMode="External"/><Relationship Id="rId15" Type="http://schemas.openxmlformats.org/officeDocument/2006/relationships/hyperlink" Target="consultantplus://offline/ref=BB34689919C5B48457776C3E07D95A3CE9130D19CFA073AC2ACE8F9C7FED02043EE11C58CFB59235A4W9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34689919C5B48457776C3E07D95A3CE9130D19CFA073AC2ACE8F9C7FED02043EE11C58CFB59235A4WBE" TargetMode="External"/><Relationship Id="rId19" Type="http://schemas.openxmlformats.org/officeDocument/2006/relationships/hyperlink" Target="consultantplus://offline/ref=BB34689919C5B48457776C3E07D95A3CE9130D19CFA073AC2ACE8F9C7FAEWDE" TargetMode="External"/><Relationship Id="rId4" Type="http://schemas.openxmlformats.org/officeDocument/2006/relationships/hyperlink" Target="consultantplus://offline/ref=BB34689919C5B48457776C3E07D95A3CE9130D19CFA073AC2ACE8F9C7FED02043EE11C58CFB59235A4WEE" TargetMode="External"/><Relationship Id="rId9" Type="http://schemas.openxmlformats.org/officeDocument/2006/relationships/hyperlink" Target="consultantplus://offline/ref=BB34689919C5B48457776C3E07D95A3CE9130D19CFA073AC2ACE8F9C7FED02043EE11C58CFB59235A4WAE" TargetMode="External"/><Relationship Id="rId14" Type="http://schemas.openxmlformats.org/officeDocument/2006/relationships/hyperlink" Target="consultantplus://offline/ref=BB34689919C5B48457776C3E07D95A3CE9130D19CFA073AC2ACE8F9C7FED02043EE11C58CFB59235A4W8E" TargetMode="External"/><Relationship Id="rId22" Type="http://schemas.openxmlformats.org/officeDocument/2006/relationships/hyperlink" Target="consultantplus://offline/ref=BB34689919C5B48457776C3E07D95A3CE9130D19CFA073AC2ACE8F9C7FED02043EE11C58CFB59338A4W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2015-05-28T04:32:00Z</cp:lastPrinted>
  <dcterms:created xsi:type="dcterms:W3CDTF">2015-05-28T04:21:00Z</dcterms:created>
  <dcterms:modified xsi:type="dcterms:W3CDTF">2015-05-28T04:32:00Z</dcterms:modified>
</cp:coreProperties>
</file>