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2B" w:rsidRPr="0081482B" w:rsidRDefault="0081482B" w:rsidP="00814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Пресс-служба Банка России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48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48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in;height:18pt" o:ole="">
            <v:imagedata r:id="rId5" o:title=""/>
          </v:shape>
          <w:control r:id="rId6" w:name="DefaultOcxName" w:shapeid="_x0000_i1083"/>
        </w:object>
      </w:r>
    </w:p>
    <w:p w:rsidR="0081482B" w:rsidRPr="0081482B" w:rsidRDefault="0081482B" w:rsidP="00814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Центральный банк Российской Федерации (Банк </w:t>
      </w:r>
      <w:proofErr w:type="gramStart"/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России)</w:t>
      </w:r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Пресс</w:t>
      </w:r>
      <w:proofErr w:type="gramEnd"/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-служба</w:t>
      </w: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1482B" w:rsidRPr="0081482B" w:rsidRDefault="0081482B" w:rsidP="00814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107016, Москва, ул. </w:t>
      </w:r>
      <w:proofErr w:type="spellStart"/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Неглинная</w:t>
      </w:r>
      <w:proofErr w:type="spellEnd"/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12</w:t>
      </w: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hyperlink r:id="rId7" w:history="1">
        <w:r w:rsidRPr="0081482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www.cbr.ru</w:t>
        </w:r>
      </w:hyperlink>
    </w:p>
    <w:p w:rsidR="0081482B" w:rsidRPr="0081482B" w:rsidRDefault="0081482B" w:rsidP="00814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</w:t>
      </w:r>
    </w:p>
    <w:p w:rsidR="0081482B" w:rsidRPr="0081482B" w:rsidRDefault="0081482B" w:rsidP="008148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Банк России принял решение снизить ключевую ставку до 10,00% годовых 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Совет директоров Банка России 16 сентября 2016 года принял решение снизить </w:t>
      </w:r>
      <w:hyperlink r:id="rId8" w:tgtFrame="_blank" w:history="1">
        <w:r w:rsidRPr="0081482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ключевую ставку</w:t>
        </w:r>
      </w:hyperlink>
      <w:r w:rsidRPr="008148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до 10,00% годовых, учитывая замедление инфляции в соответствии с прогнозом и снижение инфляционных ожиданий при сохранении неустойчивой экономической активности. Вместе с тем для закрепления тенденции к устойчивому снижению инфляции, по оценкам Банка России, необходимо поддержание достигнутого уровня ключевой ставки до конца 2016 года с возможностью ее снижения в I</w:t>
      </w: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148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II квартале 2017 года. С учетом принятого решения и сохранения умеренно жесткой денежно-кредитной политики годовой темп прироста потребительских цен составит около 4,5% в сентябре 2017 года и в дальнейшем снизится до целевого уровня 4% в конце 2017 года. При принятии решения о ключевой ставке в ближайшие месяцы Банк России будет оценивать инфляционные риски и соответствие динамики экономики и инфляции базовому прогнозу.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Принимая решение по ключевой ставке, Совет директоров Банка России исходил из следующего.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Первое. Инфляция заметно снизилась, что соответствует базовому прогнозу Банка России. По оценке, годовой темп прироста потребительских цен сократился до 6,6% по состоянию на 12 сентября 2016 года после 7,2% в июле. Однако снижение инфляции, в частности, было обусловлено динамикой курса рубля в условиях более благоприятной, чем ожидалось ранее, внешнеэкономической конъюнктуры. Наблюдающееся в этих условиях медленное снижение темпов роста цен на непродовольственные товары является признаком ослабления </w:t>
      </w:r>
      <w:proofErr w:type="spellStart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дезинфляционного</w:t>
      </w:r>
      <w:proofErr w:type="spellEnd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влияния внутреннего спроса. В последние месяцы сезонно сглаженные показатели месячных темпов прироста потребительских цен остаются повышенными. Сохранение ключевой ставки на уровне 10,00% в течение достаточно продолжительного времени сформирует денежно-кредитные условия, необходимые для закрепления тенденции к дальнейшему устойчивому замедлению инфляции под влиянием ограничений со стороны спроса. Снижению темпов роста потребительских цен будет также способствовать стабилизация рубля и ожидаемый хороший урожай. Это создаст условия для дальнейшего снижения инфляционных ожиданий. С учетом принятого решения и сохранения умеренно жесткой денежно-кредитной политики, по прогнозу Банка России, годовая инфляция составит около 4,5% в сентябре 2017 года и в дальнейшем снизится до целевого уровня 4% в конце 2017 года.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Второе. Банк России рассчитывает, что принятое решение по ключевой ставке и ее поддержание на достигнутом уровне снизит инфляционные ожидания. В настоящее время структура рыночных процентных ставок по срокам до погашения и результаты опросов показывают, что участники рынка прогнозируют более быстрое снижение процентных ставок, чем Банк России. При этом их прогнозы по инфляции на конец 2017 года превышают целевой показатель Банка России в 4%. В действительности потенциал снижения номинальных ставок ограничен, и умеренно жесткие денежно-кредитные условия будут сохраняться в экономике достаточно длительное время. Это обусловлено необходимостью поддержания положительных реальных процентных ставок на уровне, который обеспечит спрос на кредит, не приводящий к повышению инфляционного давления, а также сохранит стимулы к сбережениям.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 xml:space="preserve">Третье. Продолжающееся оживление производственной активности остается неустойчивым. Сохраняется её неоднородность по отраслям и регионам. По оценке Банка России, умеренно жесткие денежно-кредитные условия не препятствуют восстановлению экономической активности, и основные препятствия лежат в структурной области. Рынок труда подстраивается к новым экономическим условиям, безработица сохраняется на стабильном невысоком уровне. Продолжается развитие процессов </w:t>
      </w:r>
      <w:proofErr w:type="spellStart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импортозамещения</w:t>
      </w:r>
      <w:proofErr w:type="spellEnd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 xml:space="preserve">, а также расширения </w:t>
      </w:r>
      <w:proofErr w:type="spellStart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несырьевого</w:t>
      </w:r>
      <w:proofErr w:type="spellEnd"/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экспорта по некоторым позициям, наметились дополнительные точки роста в промышленности, в том числе в высокотехнологичных производствах. В то же время они пока не могут обеспечить уверенную положительную динамику производства в целом. Одновременно наблюдается стагнация или замедление темпов роста выпуска в отдельных отраслях, продолжают сокращаться инвестиции. Для развития и закрепления позитивных тенденций необходимо время. Положительный квартальный прирост ВВП ожидается уже во втором полугодии текущего года, однако в 2017 году темпы прироста ВВП будут невысокими — менее 1%. Данный прогноз исходит из консервативных предпосылок о низких темпах роста мировой экономики, среднегодовой цены на нефть около 40 долларов США за баррель и сохранении структурных ограничений развития российской экономики.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Четвертое. Сохраняются риски того, что инфляция не достигнет целевого уровня 4% в 2017 году. Это связано главным образом с инерцией инфляционных ожиданий и возможным ослаблением стимулов домашних хозяйств к сбережениям. Пока не достигнута определённость в отношении конкретных мер бюджетной консолидации, в том числе индексации зарплат и социальных выплат, на среднесрочном горизонте. Негативное влияние на курсовые и инфляционные ожидания может оказывать и волатильность мировых товарных и финансовых рынков.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Для закрепления тенденции к устойчивому снижению инфляции, по оценкам Банка России, необходимо поддержание достигнутого уровня ключевой ставки до конца 2016 года с возможностью ее снижения в I-II квартале 2017 года. При принятии решения о ключевой ставке в ближайшие месяцы Банк России будет оценивать инфляционные риски и соответствие динамики экономики и инфляции базовому прогнозу.</w:t>
      </w:r>
    </w:p>
    <w:p w:rsidR="0081482B" w:rsidRPr="0081482B" w:rsidRDefault="0081482B" w:rsidP="008148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9" w:tgtFrame="_blank" w:history="1">
        <w:r w:rsidRPr="0081482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28 октября 2016 года</w:t>
        </w:r>
      </w:hyperlink>
      <w:r w:rsidRPr="0081482B">
        <w:rPr>
          <w:rFonts w:ascii="Times New Roman" w:eastAsia="Times New Roman" w:hAnsi="Times New Roman" w:cs="Times New Roman"/>
          <w:color w:val="000000"/>
          <w:lang w:eastAsia="ru-RU"/>
        </w:rPr>
        <w:t>. Время публикации пресс-релиза о решении Совета директоров Банка России — 13:30 по московскому времени.</w:t>
      </w:r>
    </w:p>
    <w:p w:rsidR="0081482B" w:rsidRPr="0081482B" w:rsidRDefault="0081482B" w:rsidP="0081482B">
      <w:pPr>
        <w:spacing w:after="0" w:line="240" w:lineRule="auto"/>
        <w:outlineLvl w:val="2"/>
        <w:rPr>
          <w:rFonts w:ascii="Georgia" w:eastAsia="Times New Roman" w:hAnsi="Georgia" w:cs="Arial"/>
          <w:color w:val="000000"/>
          <w:sz w:val="40"/>
          <w:szCs w:val="40"/>
          <w:lang w:eastAsia="ru-RU"/>
        </w:rPr>
      </w:pPr>
      <w:r w:rsidRPr="0081482B">
        <w:rPr>
          <w:rFonts w:ascii="Georgia" w:eastAsia="Times New Roman" w:hAnsi="Georgia" w:cs="Arial"/>
          <w:color w:val="000000"/>
          <w:sz w:val="40"/>
          <w:szCs w:val="40"/>
          <w:lang w:eastAsia="ru-RU"/>
        </w:rPr>
        <w:t>Процентные ставки по операциям Банка России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482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(% годовых)</w:t>
      </w:r>
    </w:p>
    <w:tbl>
      <w:tblPr>
        <w:tblW w:w="5084" w:type="pct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526"/>
        <w:gridCol w:w="1728"/>
        <w:gridCol w:w="2615"/>
        <w:gridCol w:w="1360"/>
        <w:gridCol w:w="1417"/>
      </w:tblGrid>
      <w:tr w:rsidR="0081482B" w:rsidRPr="0081482B" w:rsidTr="0081482B">
        <w:trPr>
          <w:trHeight w:val="525"/>
        </w:trPr>
        <w:tc>
          <w:tcPr>
            <w:tcW w:w="1864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Назначение</w:t>
            </w:r>
          </w:p>
        </w:tc>
        <w:tc>
          <w:tcPr>
            <w:tcW w:w="1526" w:type="dxa"/>
            <w:noWrap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инструмента</w:t>
            </w:r>
          </w:p>
        </w:tc>
        <w:tc>
          <w:tcPr>
            <w:tcW w:w="1728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Инструмент</w:t>
            </w:r>
          </w:p>
        </w:tc>
        <w:tc>
          <w:tcPr>
            <w:tcW w:w="2615" w:type="dxa"/>
            <w:noWrap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1360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 14.06.2016</w:t>
            </w:r>
          </w:p>
        </w:tc>
        <w:tc>
          <w:tcPr>
            <w:tcW w:w="1417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814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c 19.09.2016</w:t>
            </w:r>
          </w:p>
        </w:tc>
      </w:tr>
      <w:tr w:rsidR="0081482B" w:rsidRPr="0081482B" w:rsidTr="0081482B">
        <w:tc>
          <w:tcPr>
            <w:tcW w:w="1864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ликвидности</w:t>
            </w:r>
          </w:p>
        </w:tc>
        <w:tc>
          <w:tcPr>
            <w:tcW w:w="1526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Операции постоянного действия </w:t>
            </w: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Кредиты «овернайт»; сделки «валютный своп» (рублевая часть); ломбардные кредиты; РЕПО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11.50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11.00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Кредиты, обеспеченные золотом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11.50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11.00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2 до 549 дней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11.50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Кредиты, обеспеченные нерыночными активами или поручительствами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11.50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11.00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2 до 549 дней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12.25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11.75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на открытом рынке (минимальные процентные ставки)</w:t>
            </w: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Аукционы по предоставлению кредитов, обеспеченных нерыночными активами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1 до 3 недель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3 месяца, 18 месяцев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10.75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10.25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Ломбардные кредитные аукционы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1, 2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36 месяцев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10.75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10.25</w:t>
            </w: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Аукционы РЕПО и валютный своп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1 до 6 дней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1 неделя</w:t>
            </w:r>
          </w:p>
        </w:tc>
        <w:tc>
          <w:tcPr>
            <w:tcW w:w="1360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10.50 (ключевая ставка) </w:t>
            </w:r>
          </w:p>
        </w:tc>
        <w:tc>
          <w:tcPr>
            <w:tcW w:w="1417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10.00 (ключевая ставка) </w:t>
            </w:r>
          </w:p>
        </w:tc>
      </w:tr>
      <w:tr w:rsidR="0081482B" w:rsidRPr="0081482B" w:rsidTr="0081482B">
        <w:tc>
          <w:tcPr>
            <w:tcW w:w="1864" w:type="dxa"/>
            <w:vMerge w:val="restart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Абсорбирование ликвидности</w:t>
            </w:r>
          </w:p>
        </w:tc>
        <w:tc>
          <w:tcPr>
            <w:tcW w:w="152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на открытом рынке (максимальные процентные ставки)</w:t>
            </w: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Депозитные аукционы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 1 до 6 дней</w:t>
            </w:r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1 неделя</w:t>
            </w:r>
          </w:p>
        </w:tc>
        <w:tc>
          <w:tcPr>
            <w:tcW w:w="1360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1482B" w:rsidRPr="0081482B" w:rsidTr="0081482B">
        <w:tc>
          <w:tcPr>
            <w:tcW w:w="1864" w:type="dxa"/>
            <w:vMerge/>
            <w:vAlign w:val="center"/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Операции постоянного действия</w:t>
            </w:r>
          </w:p>
        </w:tc>
        <w:tc>
          <w:tcPr>
            <w:tcW w:w="1728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Депозитные операции</w:t>
            </w:r>
          </w:p>
        </w:tc>
        <w:tc>
          <w:tcPr>
            <w:tcW w:w="2615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 день, до востребования</w:t>
            </w:r>
          </w:p>
        </w:tc>
        <w:tc>
          <w:tcPr>
            <w:tcW w:w="1360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9.50</w:t>
            </w:r>
          </w:p>
        </w:tc>
        <w:tc>
          <w:tcPr>
            <w:tcW w:w="1417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9.00</w:t>
            </w:r>
          </w:p>
        </w:tc>
      </w:tr>
      <w:tr w:rsidR="0081482B" w:rsidRPr="0081482B" w:rsidTr="0081482B">
        <w:trPr>
          <w:trHeight w:val="573"/>
        </w:trPr>
        <w:tc>
          <w:tcPr>
            <w:tcW w:w="9093" w:type="dxa"/>
            <w:gridSpan w:val="5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Pr="008148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hyperlink r:id="rId10" w:tgtFrame="_blank" w:history="1">
              <w:r w:rsidRPr="0081482B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Ставка</w:t>
              </w:r>
              <w:proofErr w:type="gramEnd"/>
              <w:r w:rsidRPr="0081482B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 xml:space="preserve"> рефинансирования</w:t>
              </w:r>
            </w:hyperlink>
            <w:r w:rsidRPr="0081482B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1417" w:type="dxa"/>
            <w:noWrap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81482B" w:rsidRPr="0081482B" w:rsidRDefault="0081482B" w:rsidP="0081482B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Кредиты, предоставляемые по плавающей процентной ставке, привязанной к уровню ключевой ставки Банка России.</w:t>
            </w:r>
          </w:p>
        </w:tc>
      </w:tr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 Проведение аукционов приостановлено с 1.07.2016. </w:t>
            </w:r>
          </w:p>
        </w:tc>
      </w:tr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Операции «тонкой настройки».</w:t>
            </w:r>
          </w:p>
        </w:tc>
      </w:tr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4 </w:t>
            </w: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Значение ставки рефинансирования Банка России с 01.01.2016 года </w:t>
            </w:r>
            <w:hyperlink r:id="rId11" w:tgtFrame="_blank" w:history="1">
              <w:r w:rsidRPr="0081482B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приравнено</w:t>
              </w:r>
            </w:hyperlink>
            <w:r w:rsidRPr="0081482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 значению ключевой ставки Банка России на соответствующую дату. С 01.01.2016 самостоятельное значение ставки рефина</w:t>
            </w:r>
            <w:bookmarkStart w:id="0" w:name="_GoBack"/>
            <w:bookmarkEnd w:id="0"/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нсирования не устанавливается. </w:t>
            </w:r>
            <w:hyperlink r:id="rId12" w:tgtFrame="_blank" w:history="1">
              <w:r w:rsidRPr="0081482B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Значения ставки рефинансирования до 01.01.2016</w:t>
              </w:r>
            </w:hyperlink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482B" w:rsidRPr="0081482B" w:rsidTr="0081482B">
        <w:tc>
          <w:tcPr>
            <w:tcW w:w="0" w:type="auto"/>
            <w:hideMark/>
          </w:tcPr>
          <w:p w:rsidR="0081482B" w:rsidRPr="0081482B" w:rsidRDefault="0081482B" w:rsidP="00814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tgtFrame="_blank" w:history="1">
              <w:r w:rsidRPr="0081482B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Процентные ставки по операциям Банка России, проведение которых приостановлено</w:t>
              </w:r>
            </w:hyperlink>
            <w:r w:rsidRPr="008148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p w:rsidR="0081482B" w:rsidRPr="0081482B" w:rsidRDefault="0081482B" w:rsidP="0081482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82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16 сентября 2016 года 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81482B" w:rsidRPr="0081482B" w:rsidRDefault="0081482B" w:rsidP="008148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vanish/>
          <w:sz w:val="18"/>
          <w:szCs w:val="18"/>
          <w:lang w:eastAsia="ru-RU"/>
        </w:rPr>
        <w:t>Конец формы</w:t>
      </w:r>
    </w:p>
    <w:p w:rsidR="0081482B" w:rsidRPr="0081482B" w:rsidRDefault="0081482B" w:rsidP="0081482B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 сайте</w:t>
        </w:r>
      </w:hyperlink>
    </w:p>
    <w:p w:rsidR="0081482B" w:rsidRPr="0081482B" w:rsidRDefault="0081482B" w:rsidP="0081482B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Архив</w:t>
        </w:r>
      </w:hyperlink>
    </w:p>
    <w:p w:rsidR="0081482B" w:rsidRPr="0081482B" w:rsidRDefault="0081482B" w:rsidP="0081482B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Поиск и карта сайта</w:t>
        </w:r>
      </w:hyperlink>
    </w:p>
    <w:p w:rsidR="0081482B" w:rsidRPr="0081482B" w:rsidRDefault="0081482B" w:rsidP="0081482B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Другие ресурсы</w:t>
        </w:r>
      </w:hyperlink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© Банк России, 2000–2016</w:t>
      </w:r>
    </w:p>
    <w:p w:rsidR="0081482B" w:rsidRPr="0081482B" w:rsidRDefault="0081482B" w:rsidP="008148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vanish/>
          <w:sz w:val="18"/>
          <w:szCs w:val="18"/>
          <w:lang w:eastAsia="ru-RU"/>
        </w:rPr>
        <w:t>Начало формы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74" type="#_x0000_t75" style="width:32.4pt;height:20.4pt" o:ole="">
            <v:imagedata r:id="rId18" o:title=""/>
          </v:shape>
          <w:control r:id="rId19" w:name="DefaultOcxName3" w:shapeid="_x0000_i1074"/>
        </w:object>
      </w:r>
    </w:p>
    <w:p w:rsidR="0081482B" w:rsidRPr="0081482B" w:rsidRDefault="0081482B" w:rsidP="008148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vanish/>
          <w:sz w:val="18"/>
          <w:szCs w:val="18"/>
          <w:lang w:eastAsia="ru-RU"/>
        </w:rPr>
        <w:t>Конец формы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ул. </w:t>
      </w:r>
      <w:proofErr w:type="spellStart"/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Неглинная</w:t>
      </w:r>
      <w:proofErr w:type="spellEnd"/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12, Москва, 107016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Телефоны: 8 800 250-40-72 (для бесплатных звонков из регионов России), +7 495 771-91-00 (круглосуточно, по рабочим дням), факс: +7 495 621-64-65</w:t>
      </w:r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Контактная информация</w:t>
        </w:r>
      </w:hyperlink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Банк России не рассылает SMS-сообщения</w:t>
        </w:r>
      </w:hyperlink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Вся официальная контактная информация Банка России представлена на официальном сайте Банка России </w:t>
      </w:r>
      <w:hyperlink r:id="rId22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www.cbr.ru</w:t>
        </w:r>
      </w:hyperlink>
    </w:p>
    <w:p w:rsidR="0081482B" w:rsidRPr="0081482B" w:rsidRDefault="0081482B" w:rsidP="0081482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48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вопросам, связанным с работой сайта, обращайтесь по адресу: </w:t>
      </w:r>
      <w:hyperlink r:id="rId23" w:history="1">
        <w:r w:rsidRPr="0081482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webmaster@www.cbr.ru</w:t>
        </w:r>
      </w:hyperlink>
    </w:p>
    <w:p w:rsidR="00D34F67" w:rsidRPr="0081482B" w:rsidRDefault="00D34F67">
      <w:pPr>
        <w:rPr>
          <w:sz w:val="18"/>
          <w:szCs w:val="18"/>
        </w:rPr>
      </w:pPr>
    </w:p>
    <w:sectPr w:rsidR="00D34F67" w:rsidRPr="0081482B" w:rsidSect="0081482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2C"/>
    <w:multiLevelType w:val="multilevel"/>
    <w:tmpl w:val="A35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22"/>
    <w:rsid w:val="005F2922"/>
    <w:rsid w:val="0081482B"/>
    <w:rsid w:val="00D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3216-8B85-47D2-81EC-63C03C7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156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9129">
                          <w:marLeft w:val="0"/>
                          <w:marRight w:val="0"/>
                          <w:marTop w:val="744"/>
                          <w:marBottom w:val="0"/>
                          <w:divBdr>
                            <w:top w:val="single" w:sz="6" w:space="31" w:color="CBCBCB"/>
                            <w:left w:val="single" w:sz="6" w:space="31" w:color="CBCBCB"/>
                            <w:bottom w:val="single" w:sz="6" w:space="30" w:color="CBCBCB"/>
                            <w:right w:val="single" w:sz="6" w:space="31" w:color="CBCBCB"/>
                          </w:divBdr>
                          <w:divsChild>
                            <w:div w:id="17204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37898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6948">
                              <w:marLeft w:val="0"/>
                              <w:marRight w:val="0"/>
                              <w:marTop w:val="12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86">
                  <w:marLeft w:val="375"/>
                  <w:marRight w:val="375"/>
                  <w:marTop w:val="0"/>
                  <w:marBottom w:val="0"/>
                  <w:divBdr>
                    <w:top w:val="single" w:sz="6" w:space="31" w:color="C8C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DKP/print.aspx?file=standart_system/rates_table_16.htm&amp;pid=dkp&amp;sid=ITM_49976" TargetMode="External"/><Relationship Id="rId13" Type="http://schemas.openxmlformats.org/officeDocument/2006/relationships/hyperlink" Target="http://www.cbr.ru/DKP/standart_system/rates_table.pdf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http://www.cbr.ru/press/print.aspx?file=press_centre/sms.htm" TargetMode="Externa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://www.cbr.ru/pw.aspx?file=/statistics/credit_statistics/refinancing_rates.htm" TargetMode="External"/><Relationship Id="rId17" Type="http://schemas.openxmlformats.org/officeDocument/2006/relationships/hyperlink" Target="http://www.cbr.ru/link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br.ru/sitemap/" TargetMode="External"/><Relationship Id="rId20" Type="http://schemas.openxmlformats.org/officeDocument/2006/relationships/hyperlink" Target="http://www.cbr.ru/pw.aspx?file=/other/help.htm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cbr.ru/DKP/standart_system/3894-u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cbr.ru/archive/" TargetMode="External"/><Relationship Id="rId23" Type="http://schemas.openxmlformats.org/officeDocument/2006/relationships/hyperlink" Target="mailto:webmaster@www.cbr.ru" TargetMode="External"/><Relationship Id="rId10" Type="http://schemas.openxmlformats.org/officeDocument/2006/relationships/hyperlink" Target="http://www.cbr.ru/pw.aspx?file=/statistics/credit_statistics/refinancing_rates.htm" TargetMode="External"/><Relationship Id="rId19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://www.cbr.ru/DKP/?PrtId=cal_mp" TargetMode="External"/><Relationship Id="rId14" Type="http://schemas.openxmlformats.org/officeDocument/2006/relationships/hyperlink" Target="http://www.cbr.ru/About/" TargetMode="External"/><Relationship Id="rId22" Type="http://schemas.openxmlformats.org/officeDocument/2006/relationships/hyperlink" Target="http://www.cbr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2016-09-21T04:17:00Z</dcterms:created>
  <dcterms:modified xsi:type="dcterms:W3CDTF">2016-09-21T04:24:00Z</dcterms:modified>
</cp:coreProperties>
</file>